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0" w:after="240"/>
        <w:jc w:val="center"/>
        <w:rPr>
          <w:rFonts w:ascii="Times New Roman" w:hAnsi="Times New Roman" w:eastAsia="Times New Roman" w:cs="Times New Roman"/>
          <w:b/>
          <w:b/>
        </w:rPr>
      </w:pPr>
      <w:r>
        <w:rPr>
          <w:rFonts w:eastAsia="Times New Roman" w:cs="Times New Roman" w:ascii="Times New Roman" w:hAnsi="Times New Roman"/>
          <w:b/>
        </w:rPr>
        <w:t>Anthropology 536A: THE ANTHROPOLOGY OF BODY, HEALTH AND ILLNESS</w:t>
      </w:r>
    </w:p>
    <w:p>
      <w:pPr>
        <w:pStyle w:val="Normal"/>
        <w:spacing w:lineRule="auto" w:line="240" w:before="240" w:after="240"/>
        <w:jc w:val="center"/>
        <w:rPr>
          <w:rFonts w:ascii="Times New Roman" w:hAnsi="Times New Roman" w:eastAsia="Times New Roman" w:cs="Times New Roman"/>
          <w:b/>
          <w:b/>
        </w:rPr>
      </w:pPr>
      <w:r>
        <w:rPr>
          <w:rFonts w:eastAsia="Times New Roman" w:cs="Times New Roman" w:ascii="Times New Roman" w:hAnsi="Times New Roman"/>
          <w:b/>
        </w:rPr>
        <w:t>Fall 2001</w:t>
      </w:r>
    </w:p>
    <w:p>
      <w:pPr>
        <w:pStyle w:val="Normal"/>
        <w:spacing w:lineRule="auto" w:line="240" w:before="240" w:after="240"/>
        <w:rPr>
          <w:rFonts w:ascii="Times New Roman" w:hAnsi="Times New Roman" w:eastAsia="Times New Roman" w:cs="Times New Roman"/>
          <w:b/>
          <w:b/>
        </w:rPr>
      </w:pPr>
      <w:r>
        <w:rPr>
          <w:rFonts w:eastAsia="Times New Roman" w:cs="Times New Roman" w:ascii="Times New Roman" w:hAnsi="Times New Roman"/>
          <w:b/>
        </w:rPr>
        <w:t>Professor Mark Nichter</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Office: Anthropology 221</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Office Phone:  621-2665</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Office Hours:  Tuesday:  11:00-12:00 and 3:30-4:30</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*10 minute appointment unless otherwise scheduled</w:t>
      </w:r>
    </w:p>
    <w:p>
      <w:pPr>
        <w:pStyle w:val="Normal"/>
        <w:spacing w:lineRule="auto" w:line="240" w:before="240" w:after="240"/>
        <w:rPr>
          <w:rFonts w:ascii="Times New Roman" w:hAnsi="Times New Roman" w:eastAsia="Times New Roman" w:cs="Times New Roman"/>
          <w:b/>
          <w:b/>
        </w:rPr>
      </w:pPr>
      <w:r>
        <w:rPr>
          <w:rFonts w:eastAsia="Times New Roman" w:cs="Times New Roman" w:ascii="Times New Roman" w:hAnsi="Times New Roman"/>
          <w:b/>
        </w:rPr>
        <w:t>Course Requirements:</w:t>
      </w:r>
    </w:p>
    <w:tbl>
      <w:tblPr>
        <w:tblStyle w:val="Table1"/>
        <w:tblW w:w="9360" w:type="dxa"/>
        <w:jc w:val="left"/>
        <w:tblInd w:w="0" w:type="dxa"/>
        <w:tblBorders/>
        <w:tblCellMar>
          <w:top w:w="100" w:type="dxa"/>
          <w:left w:w="100" w:type="dxa"/>
          <w:bottom w:w="100" w:type="dxa"/>
          <w:right w:w="100" w:type="dxa"/>
        </w:tblCellMar>
        <w:tblLook w:val="0600"/>
      </w:tblPr>
      <w:tblGrid>
        <w:gridCol w:w="777"/>
        <w:gridCol w:w="968"/>
        <w:gridCol w:w="982"/>
        <w:gridCol w:w="6632"/>
      </w:tblGrid>
      <w:tr>
        <w:trPr>
          <w:trHeight w:val="273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1.</w:t>
            </w:r>
          </w:p>
        </w:tc>
        <w:tc>
          <w:tcPr>
            <w:tcW w:w="8582" w:type="dxa"/>
            <w:gridSpan w:val="3"/>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The course is conducted as a graduate seminar.  This requires students to be familiar with required readings which averages 150 pages per week.  Readings are primarily articles and book chapters.  Many, </w:t>
            </w:r>
            <w:r>
              <w:rPr>
                <w:rFonts w:eastAsia="Times New Roman" w:cs="Times New Roman" w:ascii="Times New Roman" w:hAnsi="Times New Roman"/>
                <w:b/>
                <w:u w:val="single"/>
              </w:rPr>
              <w:t>but not all</w:t>
            </w:r>
            <w:r>
              <w:rPr>
                <w:rFonts w:eastAsia="Times New Roman" w:cs="Times New Roman" w:ascii="Times New Roman" w:hAnsi="Times New Roman"/>
              </w:rPr>
              <w:t xml:space="preserve">, will be discussed in class.  Supplementary readings are suggested for those who have special interest in a particular topic or who are preparing for prelims in anthropology.  Additional readings for class papers will be suggested by the professor during students meetings.  Packets of </w:t>
            </w:r>
            <w:r>
              <w:rPr>
                <w:rFonts w:eastAsia="Times New Roman" w:cs="Times New Roman" w:ascii="Times New Roman" w:hAnsi="Times New Roman"/>
                <w:u w:val="single"/>
              </w:rPr>
              <w:t>required</w:t>
            </w:r>
            <w:r>
              <w:rPr>
                <w:rFonts w:eastAsia="Times New Roman" w:cs="Times New Roman" w:ascii="Times New Roman" w:hAnsi="Times New Roman"/>
              </w:rPr>
              <w:t xml:space="preserve"> readings will be made available on a week-by-week basis.</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r>
          </w:p>
        </w:tc>
      </w:tr>
      <w:tr>
        <w:trPr>
          <w:trHeight w:val="161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2.</w:t>
            </w:r>
          </w:p>
        </w:tc>
        <w:tc>
          <w:tcPr>
            <w:tcW w:w="8582" w:type="dxa"/>
            <w:gridSpan w:val="3"/>
            <w:tcBorders/>
            <w:shd w:fill="auto" w:val="clear"/>
          </w:tcPr>
          <w:p>
            <w:pPr>
              <w:pStyle w:val="Normal"/>
              <w:spacing w:lineRule="auto" w:line="240" w:before="240" w:after="240"/>
              <w:rPr>
                <w:rFonts w:ascii="Times New Roman" w:hAnsi="Times New Roman" w:eastAsia="Times New Roman" w:cs="Times New Roman"/>
                <w:b/>
                <w:b/>
                <w:u w:val="single"/>
              </w:rPr>
            </w:pPr>
            <w:r>
              <w:rPr>
                <w:rFonts w:eastAsia="Times New Roman" w:cs="Times New Roman" w:ascii="Times New Roman" w:hAnsi="Times New Roman"/>
              </w:rPr>
              <w:t xml:space="preserve">One coherent, well- structured class paper on a) a subject related to the themes covered in class and negotiated between student and professor; </w:t>
            </w:r>
            <w:r>
              <w:rPr>
                <w:rFonts w:eastAsia="Times New Roman" w:cs="Times New Roman" w:ascii="Times New Roman" w:hAnsi="Times New Roman"/>
                <w:b/>
                <w:u w:val="single"/>
              </w:rPr>
              <w:t>or</w:t>
            </w:r>
            <w:r>
              <w:rPr>
                <w:rFonts w:eastAsia="Times New Roman" w:cs="Times New Roman" w:ascii="Times New Roman" w:hAnsi="Times New Roman"/>
              </w:rPr>
              <w:t xml:space="preserve">  b) Two critical book reviews on subject related to issues raised in class -- from books suggested as supplementary reading or approved by the professor.  Topics should be </w:t>
            </w:r>
            <w:r>
              <w:rPr>
                <w:rFonts w:eastAsia="Times New Roman" w:cs="Times New Roman" w:ascii="Times New Roman" w:hAnsi="Times New Roman"/>
                <w:b/>
                <w:u w:val="single"/>
              </w:rPr>
              <w:t>selected</w:t>
            </w:r>
            <w:r>
              <w:rPr>
                <w:rFonts w:eastAsia="Times New Roman" w:cs="Times New Roman" w:ascii="Times New Roman" w:hAnsi="Times New Roman"/>
              </w:rPr>
              <w:t xml:space="preserve"> by the </w:t>
            </w:r>
            <w:r>
              <w:rPr>
                <w:rFonts w:eastAsia="Times New Roman" w:cs="Times New Roman" w:ascii="Times New Roman" w:hAnsi="Times New Roman"/>
                <w:b/>
                <w:u w:val="single"/>
              </w:rPr>
              <w:t>1st week of November.</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a.</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length:  20 typed pages [or two 10 page book reviews]</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b.</w:t>
            </w:r>
          </w:p>
        </w:tc>
        <w:tc>
          <w:tcPr>
            <w:tcW w:w="6632" w:type="dxa"/>
            <w:tcBorders/>
            <w:shd w:fill="auto" w:val="clear"/>
          </w:tcPr>
          <w:p>
            <w:pPr>
              <w:pStyle w:val="Normal"/>
              <w:spacing w:lineRule="auto" w:line="240" w:before="240" w:after="240"/>
              <w:rPr>
                <w:rFonts w:ascii="Times New Roman" w:hAnsi="Times New Roman" w:eastAsia="Times New Roman" w:cs="Times New Roman"/>
                <w:b/>
                <w:b/>
                <w:u w:val="single"/>
              </w:rPr>
            </w:pPr>
            <w:r>
              <w:rPr>
                <w:rFonts w:eastAsia="Times New Roman" w:cs="Times New Roman" w:ascii="Times New Roman" w:hAnsi="Times New Roman"/>
              </w:rPr>
              <w:t xml:space="preserve">due date:  before December 10th:  </w:t>
            </w:r>
            <w:r>
              <w:rPr>
                <w:rFonts w:eastAsia="Times New Roman" w:cs="Times New Roman" w:ascii="Times New Roman" w:hAnsi="Times New Roman"/>
                <w:b/>
                <w:u w:val="single"/>
              </w:rPr>
              <w:t>this is a firm date.</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c. </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references: to be included in AAA format.</w:t>
            </w:r>
          </w:p>
        </w:tc>
      </w:tr>
      <w:tr>
        <w:trPr>
          <w:trHeight w:val="104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7614" w:type="dxa"/>
            <w:gridSpan w:val="2"/>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This paper will be counted as </w:t>
            </w:r>
            <w:r>
              <w:rPr>
                <w:rFonts w:eastAsia="Times New Roman" w:cs="Times New Roman" w:ascii="Times New Roman" w:hAnsi="Times New Roman"/>
                <w:u w:val="single"/>
              </w:rPr>
              <w:t>50%</w:t>
            </w:r>
            <w:r>
              <w:rPr>
                <w:rFonts w:eastAsia="Times New Roman" w:cs="Times New Roman" w:ascii="Times New Roman" w:hAnsi="Times New Roman"/>
              </w:rPr>
              <w:t xml:space="preserve"> of the final grade.</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r>
          </w:p>
        </w:tc>
      </w:tr>
      <w:tr>
        <w:trPr>
          <w:trHeight w:val="245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3.</w:t>
            </w:r>
          </w:p>
        </w:tc>
        <w:tc>
          <w:tcPr>
            <w:tcW w:w="8582" w:type="dxa"/>
            <w:gridSpan w:val="3"/>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Critical reviews of articles assigned to students in class.  Students should be prepared to give short, </w:t>
            </w:r>
            <w:r>
              <w:rPr>
                <w:rFonts w:eastAsia="Times New Roman" w:cs="Times New Roman" w:ascii="Times New Roman" w:hAnsi="Times New Roman"/>
                <w:b/>
                <w:u w:val="single"/>
              </w:rPr>
              <w:t>concise</w:t>
            </w:r>
            <w:r>
              <w:rPr>
                <w:rFonts w:eastAsia="Times New Roman" w:cs="Times New Roman" w:ascii="Times New Roman" w:hAnsi="Times New Roman"/>
              </w:rPr>
              <w:t xml:space="preserve"> </w:t>
            </w:r>
            <w:r>
              <w:rPr>
                <w:rFonts w:eastAsia="Times New Roman" w:cs="Times New Roman" w:ascii="Times New Roman" w:hAnsi="Times New Roman"/>
                <w:b/>
              </w:rPr>
              <w:t>oral reviews</w:t>
            </w:r>
            <w:r>
              <w:rPr>
                <w:rFonts w:eastAsia="Times New Roman" w:cs="Times New Roman" w:ascii="Times New Roman" w:hAnsi="Times New Roman"/>
              </w:rPr>
              <w:t xml:space="preserve"> of these articles in class.  Students are advised to speak from an outline and not read from the text.  </w:t>
            </w:r>
            <w:r>
              <w:rPr>
                <w:rFonts w:eastAsia="Times New Roman" w:cs="Times New Roman" w:ascii="Times New Roman" w:hAnsi="Times New Roman"/>
                <w:b/>
              </w:rPr>
              <w:t>A written review</w:t>
            </w:r>
            <w:r>
              <w:rPr>
                <w:rFonts w:eastAsia="Times New Roman" w:cs="Times New Roman" w:ascii="Times New Roman" w:hAnsi="Times New Roman"/>
              </w:rPr>
              <w:t xml:space="preserve"> (3-5 pages) will be expected either the night of the class or the week following discussion of the theme in class.  This review should be </w:t>
            </w:r>
            <w:r>
              <w:rPr>
                <w:rFonts w:eastAsia="Times New Roman" w:cs="Times New Roman" w:ascii="Times New Roman" w:hAnsi="Times New Roman"/>
                <w:b/>
              </w:rPr>
              <w:t>submitted both as a paper copy and as an e-mail attachment</w:t>
            </w:r>
            <w:r>
              <w:rPr>
                <w:rFonts w:eastAsia="Times New Roman" w:cs="Times New Roman" w:ascii="Times New Roman" w:hAnsi="Times New Roman"/>
              </w:rPr>
              <w:t xml:space="preserve">. When submitting the e-mail attachment </w:t>
            </w:r>
            <w:r>
              <w:rPr>
                <w:rFonts w:eastAsia="Times New Roman" w:cs="Times New Roman" w:ascii="Times New Roman" w:hAnsi="Times New Roman"/>
                <w:b/>
              </w:rPr>
              <w:t>label the review</w:t>
            </w:r>
            <w:r>
              <w:rPr>
                <w:rFonts w:eastAsia="Times New Roman" w:cs="Times New Roman" w:ascii="Times New Roman" w:hAnsi="Times New Roman"/>
              </w:rPr>
              <w:t xml:space="preserve">: </w:t>
            </w:r>
            <w:r>
              <w:rPr>
                <w:rFonts w:eastAsia="Times New Roman" w:cs="Times New Roman" w:ascii="Times New Roman" w:hAnsi="Times New Roman"/>
                <w:b/>
              </w:rPr>
              <w:t>536A wk _ followed by your name</w:t>
            </w:r>
            <w:r>
              <w:rPr>
                <w:rFonts w:eastAsia="Times New Roman" w:cs="Times New Roman" w:ascii="Times New Roman" w:hAnsi="Times New Roman"/>
              </w:rPr>
              <w:t>.  Written reviews should be organized by subtitle and include:</w:t>
            </w:r>
          </w:p>
        </w:tc>
      </w:tr>
      <w:tr>
        <w:trPr>
          <w:trHeight w:val="77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a.</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A brief summary of the major points raised in the article (short illustrative quotes if you wish)</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b.</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Short note on methods used.</w:t>
            </w:r>
          </w:p>
        </w:tc>
      </w:tr>
      <w:tr>
        <w:trPr>
          <w:trHeight w:val="132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c.</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Your impression of the study presented.  This should include strengths, critical comments, and links to other articles discussed in class.  It is expected that latter reviews will reflect an increased depth of knowledge.</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d.</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Questions the article raised for you/the class.</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r>
      <w:tr>
        <w:trPr>
          <w:trHeight w:val="2090" w:hRule="atLeast"/>
        </w:trPr>
        <w:tc>
          <w:tcPr>
            <w:tcW w:w="9359" w:type="dxa"/>
            <w:gridSpan w:val="4"/>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These summaries and oral reports will count for 40% of your grade. (20% oral and 20% written).</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4.</w:t>
            </w:r>
          </w:p>
        </w:tc>
        <w:tc>
          <w:tcPr>
            <w:tcW w:w="8582" w:type="dxa"/>
            <w:gridSpan w:val="3"/>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Class participation:</w:t>
            </w:r>
          </w:p>
        </w:tc>
      </w:tr>
      <w:tr>
        <w:trPr>
          <w:trHeight w:val="77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a.</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Class discussion is required.  You will be asked to comment on articles not assigned for you to review.</w:t>
            </w:r>
          </w:p>
        </w:tc>
      </w:tr>
      <w:tr>
        <w:trPr>
          <w:trHeight w:val="1040"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68"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98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b.</w:t>
            </w:r>
          </w:p>
        </w:tc>
        <w:tc>
          <w:tcPr>
            <w:tcW w:w="6632"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Field assignment -- two to three short field assignments which generally take two-hours as a research exercise.  You will be expected to write up and turn in your field notes.</w:t>
            </w:r>
          </w:p>
        </w:tc>
      </w:tr>
      <w:tr>
        <w:trPr>
          <w:trHeight w:val="485" w:hRule="atLeast"/>
        </w:trPr>
        <w:tc>
          <w:tcPr>
            <w:tcW w:w="777" w:type="dxa"/>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tc>
        <w:tc>
          <w:tcPr>
            <w:tcW w:w="8582" w:type="dxa"/>
            <w:gridSpan w:val="3"/>
            <w:tcBorders/>
            <w:shd w:fill="auto" w:val="clear"/>
          </w:tcPr>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This will comprise 10% of your grade.</w:t>
            </w:r>
          </w:p>
        </w:tc>
      </w:tr>
    </w:tbl>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*Field assignments and article reviews </w:t>
      </w:r>
      <w:r>
        <w:rPr>
          <w:rFonts w:eastAsia="Times New Roman" w:cs="Times New Roman" w:ascii="Times New Roman" w:hAnsi="Times New Roman"/>
          <w:b/>
          <w:u w:val="single"/>
        </w:rPr>
        <w:t>will not be returned to students if satisfactory.</w:t>
      </w:r>
      <w:r>
        <w:rPr>
          <w:rFonts w:eastAsia="Times New Roman" w:cs="Times New Roman" w:ascii="Times New Roman" w:hAnsi="Times New Roman"/>
        </w:rPr>
        <w:t xml:space="preserve">  </w:t>
      </w:r>
      <w:r>
        <w:rPr>
          <w:rFonts w:eastAsia="Times New Roman" w:cs="Times New Roman" w:ascii="Times New Roman" w:hAnsi="Times New Roman"/>
          <w:b/>
        </w:rPr>
        <w:t>Unsatisfactory assignments will be returned</w:t>
      </w:r>
      <w:r>
        <w:rPr>
          <w:rFonts w:eastAsia="Times New Roman" w:cs="Times New Roman" w:ascii="Times New Roman" w:hAnsi="Times New Roman"/>
        </w:rPr>
        <w:t xml:space="preserve"> with critical comments. Students will then be asked to redo the review/ assignment.</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b/>
        </w:rPr>
        <w:t>**Note on grading policy of late papers</w:t>
      </w:r>
      <w:r>
        <w:rPr>
          <w:rFonts w:eastAsia="Times New Roman" w:cs="Times New Roman" w:ascii="Times New Roman" w:hAnsi="Times New Roman"/>
        </w:rPr>
        <w:t>:  Papers that are late and handed in before the spring semester are penalized half a grade.  Papers handed in after this time, are penalized one full grade.</w:t>
      </w:r>
    </w:p>
    <w:p>
      <w:pPr>
        <w:pStyle w:val="Normal"/>
        <w:spacing w:lineRule="auto" w:line="240" w:before="240" w:after="240"/>
        <w:rPr>
          <w:rFonts w:ascii="Times New Roman" w:hAnsi="Times New Roman" w:eastAsia="Times New Roman" w:cs="Times New Roman"/>
        </w:rPr>
      </w:pPr>
      <w:r>
        <w:rPr>
          <w:rFonts w:eastAsia="Times New Roman" w:cs="Times New Roman" w:ascii="Times New Roman" w:hAnsi="Times New Roman"/>
        </w:rPr>
        <w:t xml:space="preserve"> </w:t>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 w:eastAsia="zh-CN" w:bidi="hi-IN"/>
    </w:rPr>
  </w:style>
  <w:style w:type="paragraph" w:styleId="Heading1">
    <w:name w:val="Heading 1"/>
    <w:basedOn w:val="Normal1"/>
    <w:next w:val="Normal"/>
    <w:qFormat/>
    <w:pPr>
      <w:keepNext w:val="true"/>
      <w:keepLines/>
      <w:spacing w:lineRule="auto" w:line="240" w:before="400" w:after="120"/>
    </w:pPr>
    <w:rPr>
      <w:sz w:val="40"/>
      <w:szCs w:val="40"/>
    </w:rPr>
  </w:style>
  <w:style w:type="paragraph" w:styleId="Heading2">
    <w:name w:val="Heading 2"/>
    <w:basedOn w:val="Normal1"/>
    <w:next w:val="Normal"/>
    <w:qFormat/>
    <w:pPr>
      <w:keepNext w:val="true"/>
      <w:keepLines/>
      <w:spacing w:lineRule="auto" w:line="240" w:before="360" w:after="120"/>
    </w:pPr>
    <w:rPr>
      <w:b w:val="false"/>
      <w:sz w:val="32"/>
      <w:szCs w:val="32"/>
    </w:rPr>
  </w:style>
  <w:style w:type="paragraph" w:styleId="Heading3">
    <w:name w:val="Heading 3"/>
    <w:basedOn w:val="Normal1"/>
    <w:next w:val="Normal"/>
    <w:qFormat/>
    <w:pPr>
      <w:keepNext w:val="true"/>
      <w:keepLines/>
      <w:spacing w:lineRule="auto" w:line="240" w:before="320" w:after="80"/>
    </w:pPr>
    <w:rPr>
      <w:b w:val="false"/>
      <w:color w:val="434343"/>
      <w:sz w:val="28"/>
      <w:szCs w:val="28"/>
    </w:rPr>
  </w:style>
  <w:style w:type="paragraph" w:styleId="Heading4">
    <w:name w:val="Heading 4"/>
    <w:basedOn w:val="Normal1"/>
    <w:next w:val="Normal"/>
    <w:qFormat/>
    <w:pPr>
      <w:keepNext w:val="true"/>
      <w:keepLines/>
      <w:spacing w:lineRule="auto" w:line="240" w:before="280" w:after="80"/>
    </w:pPr>
    <w:rPr>
      <w:color w:val="666666"/>
      <w:sz w:val="24"/>
      <w:szCs w:val="24"/>
    </w:rPr>
  </w:style>
  <w:style w:type="paragraph" w:styleId="Heading5">
    <w:name w:val="Heading 5"/>
    <w:basedOn w:val="Normal1"/>
    <w:next w:val="Normal"/>
    <w:qFormat/>
    <w:pPr>
      <w:keepNext w:val="true"/>
      <w:keepLines/>
      <w:spacing w:lineRule="auto" w:line="240" w:before="240" w:after="80"/>
    </w:pPr>
    <w:rPr>
      <w:color w:val="666666"/>
      <w:sz w:val="22"/>
      <w:szCs w:val="22"/>
    </w:rPr>
  </w:style>
  <w:style w:type="paragraph" w:styleId="Heading6">
    <w:name w:val="Heading 6"/>
    <w:basedOn w:val="Normal1"/>
    <w:next w:val="Normal"/>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3</Pages>
  <Words>534</Words>
  <Characters>2717</Characters>
  <CharactersWithSpaces>3288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